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654"/>
        <w:gridCol w:w="13050"/>
      </w:tblGrid>
      <w:tr w:rsidR="00BC1267" w:rsidRPr="00AF50BF">
        <w:tc>
          <w:tcPr>
            <w:tcW w:w="5000" w:type="pct"/>
            <w:gridSpan w:val="2"/>
            <w:shd w:val="clear" w:color="auto" w:fill="E6E6E6"/>
            <w:vAlign w:val="center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36"/>
                <w:szCs w:val="36"/>
              </w:rPr>
              <w:t>Wydział Humanistyczny</w:t>
            </w:r>
          </w:p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36"/>
                <w:szCs w:val="36"/>
              </w:rPr>
              <w:t>Studia doktoranckie w zakresie historii</w:t>
            </w:r>
          </w:p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36"/>
                <w:szCs w:val="36"/>
              </w:rPr>
              <w:t>Rok I</w:t>
            </w:r>
          </w:p>
        </w:tc>
      </w:tr>
      <w:tr w:rsidR="00BC1267" w:rsidRPr="00AF50BF">
        <w:tc>
          <w:tcPr>
            <w:tcW w:w="5000" w:type="pct"/>
            <w:gridSpan w:val="2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36"/>
                <w:szCs w:val="36"/>
              </w:rPr>
              <w:t>SYLABUS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Przedmiot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Źródłoznawstwo wczesnonowożytne: Korona Polska XV-XVIII w. – wybrane zagadnienia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Prowadzący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  <w:lang w:val="de-DE"/>
              </w:rPr>
            </w:pPr>
            <w:r w:rsidRPr="00AF50BF">
              <w:rPr>
                <w:rFonts w:hAnsi="Bookman Old Style"/>
                <w:sz w:val="24"/>
                <w:szCs w:val="24"/>
                <w:lang w:val="de-DE"/>
              </w:rPr>
              <w:t>Prof. dr hab. Waldemar Kowalski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Forma zajęć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Konwersatorium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Rok studiów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Pierwszy, semestr pierwszy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Liczba godzin</w:t>
            </w:r>
          </w:p>
        </w:tc>
        <w:tc>
          <w:tcPr>
            <w:tcW w:w="4155" w:type="pct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20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Punkty ECTS</w:t>
            </w:r>
          </w:p>
        </w:tc>
        <w:tc>
          <w:tcPr>
            <w:tcW w:w="4155" w:type="pct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2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Forma zaliczenia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Zaliczenie </w:t>
            </w:r>
          </w:p>
        </w:tc>
      </w:tr>
      <w:tr w:rsidR="00BC1267" w:rsidRPr="00AF50BF">
        <w:tc>
          <w:tcPr>
            <w:tcW w:w="5000" w:type="pct"/>
            <w:gridSpan w:val="2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36"/>
                <w:szCs w:val="36"/>
              </w:rPr>
              <w:t>Treści kształcenia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Wymagania wstępne</w:t>
            </w:r>
          </w:p>
        </w:tc>
        <w:tc>
          <w:tcPr>
            <w:tcW w:w="4155" w:type="pct"/>
            <w:shd w:val="clear" w:color="auto" w:fill="E6E6E6"/>
            <w:vAlign w:val="center"/>
          </w:tcPr>
          <w:p w:rsidR="00BC1267" w:rsidRPr="00AF50BF" w:rsidRDefault="0000005B">
            <w:pPr>
              <w:jc w:val="both"/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Wiedza z zakresu źródłoznawstwa i epoki wczesnonowożytnej na poziomie studiów magisterskich.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Cele dydaktyczne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Zdobywanie umiejętności w zakresie analizy gatunków źródeł typowych dla epoki wczesnonowożytnej. W nawiązaniu do ogólniejszej wiedzy, wyniesionej z zajęć kursowych (historii średniowiecznej i wczesnonowożytnej oraz nauk pomocniczych historii), studenci przygotowują się do samodzielnego rozwiązywania problemów badawczych, które mogą pojawić się podczas heurezy i analizy źródeł. Nadto poznają i poszerzają swą wiedzę odnośnie ogólniejszych zagadnień, jakie muszą się pojawić w szerszej perspektywie dziejowej oraz przy wykorzystywaniu wyników krytyki źródła.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Metody dydaktyczne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Dyskusja, praca pod kierunkiem, prezentacja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lastRenderedPageBreak/>
              <w:t>Warunki zaliczenia przedmiotu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>Warunkiem uzyskania zaliczenia jest aktywne uczestnictwo w zajęciach. Oznacza to m.in. konieczność przygotowywania referatów - prezentacji poświęconych poszczególnym gatunkom źródeł oraz ich krytyce. Wybrane opracowania przedstawiane będą podczas zajęć.</w:t>
            </w:r>
          </w:p>
        </w:tc>
      </w:tr>
      <w:tr w:rsidR="00BC1267" w:rsidRPr="00AF50BF">
        <w:tc>
          <w:tcPr>
            <w:tcW w:w="5000" w:type="pct"/>
            <w:gridSpan w:val="2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36"/>
                <w:szCs w:val="36"/>
              </w:rPr>
              <w:t>Tematyka zajęć i literatura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0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Zajęcia organizacyjne</w:t>
            </w:r>
            <w:r w:rsidRPr="00AF50BF">
              <w:rPr>
                <w:rFonts w:hAnsi="Bookman Old Style"/>
                <w:color w:val="FF0000"/>
                <w:sz w:val="24"/>
                <w:szCs w:val="24"/>
              </w:rPr>
              <w:t>:</w:t>
            </w:r>
            <w:r w:rsidRPr="00AF50BF">
              <w:rPr>
                <w:rFonts w:hAnsi="Bookman Old Style"/>
                <w:sz w:val="24"/>
                <w:szCs w:val="24"/>
              </w:rPr>
              <w:t xml:space="preserve"> przegląd podstawowych typów i gatunków źródeł, kryteria ich kategoryzacji. Pismo i język epoki. Podstawowe cele i zasady edycji źródeł.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J. Szymański,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Nauki pomocnicze historii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2001); B.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Kürbis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„Metody źródłoznawcze wczoraj i dziś,” w: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eadem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Cztery eseje o źródłoznawstwie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(Poznań, 2007), 104-119.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Dokument  i księga wpisów kancelarii monarszej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pStyle w:val="Nagwek1"/>
              <w:shd w:val="clear" w:color="auto" w:fill="FFFFFF"/>
              <w:spacing w:before="0" w:after="0"/>
              <w:rPr>
                <w:rFonts w:hAnsi="Bookman Old Style"/>
                <w:color w:val="6191C5"/>
                <w:sz w:val="30"/>
                <w:szCs w:val="30"/>
              </w:rPr>
            </w:pPr>
            <w:proofErr w:type="spellStart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>Matricularum</w:t>
            </w:r>
            <w:proofErr w:type="spellEnd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>Regni</w:t>
            </w:r>
            <w:proofErr w:type="spellEnd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>Poloniœ</w:t>
            </w:r>
            <w:proofErr w:type="spellEnd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>Summaria</w:t>
            </w:r>
            <w:proofErr w:type="spellEnd"/>
            <w:r w:rsidRPr="00AF50BF">
              <w:rPr>
                <w:rFonts w:hAnsi="Bookman Old Style"/>
                <w:b w:val="0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 xml:space="preserve">Acta </w:t>
            </w:r>
            <w:proofErr w:type="spellStart"/>
            <w:r w:rsidRPr="00AF50BF">
              <w:rPr>
                <w:rFonts w:hAnsi="Bookman Old Style"/>
                <w:b w:val="0"/>
                <w:i/>
                <w:sz w:val="24"/>
                <w:szCs w:val="24"/>
              </w:rPr>
              <w:t>Tomiciana</w:t>
            </w:r>
            <w:proofErr w:type="spellEnd"/>
            <w:r w:rsidRPr="00AF50BF">
              <w:rPr>
                <w:rFonts w:hAnsi="Bookman Old Style"/>
                <w:b w:val="0"/>
                <w:sz w:val="24"/>
                <w:szCs w:val="24"/>
              </w:rPr>
              <w:t xml:space="preserve">. Dokumenty królewskie oblatowane w </w:t>
            </w:r>
            <w:proofErr w:type="spellStart"/>
            <w:r w:rsidRPr="00AF50BF">
              <w:rPr>
                <w:rFonts w:hAnsi="Bookman Old Style"/>
                <w:b w:val="0"/>
                <w:sz w:val="24"/>
                <w:szCs w:val="24"/>
              </w:rPr>
              <w:t>Castrensia</w:t>
            </w:r>
            <w:proofErr w:type="spellEnd"/>
            <w:r w:rsidRPr="00AF50BF">
              <w:rPr>
                <w:rFonts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b w:val="0"/>
                <w:sz w:val="24"/>
                <w:szCs w:val="24"/>
              </w:rPr>
              <w:t>Cracoviensia</w:t>
            </w:r>
            <w:proofErr w:type="spellEnd"/>
            <w:r w:rsidRPr="00AF50BF">
              <w:rPr>
                <w:rFonts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b w:val="0"/>
                <w:sz w:val="24"/>
                <w:szCs w:val="24"/>
              </w:rPr>
              <w:t>Relationes</w:t>
            </w:r>
            <w:proofErr w:type="spellEnd"/>
            <w:r w:rsidRPr="00AF50BF">
              <w:rPr>
                <w:rFonts w:hAnsi="Bookman Old Style"/>
                <w:b w:val="0"/>
                <w:sz w:val="24"/>
                <w:szCs w:val="24"/>
              </w:rPr>
              <w:t>, sygn. 28 (AP Kraków); AP Lublin,</w:t>
            </w:r>
            <w:r w:rsidRPr="00AF50BF">
              <w:rPr>
                <w:rFonts w:hAnsi="Bookman Old Style"/>
                <w:b w:val="0"/>
                <w:color w:val="6191C5"/>
                <w:sz w:val="30"/>
                <w:szCs w:val="30"/>
              </w:rPr>
              <w:t xml:space="preserve"> </w:t>
            </w:r>
            <w:r w:rsidRPr="00AF50BF">
              <w:rPr>
                <w:rFonts w:hAnsi="Bookman Old Style"/>
                <w:b w:val="0"/>
                <w:sz w:val="24"/>
                <w:szCs w:val="24"/>
              </w:rPr>
              <w:t>Akta m. Lublina</w:t>
            </w:r>
            <w:r w:rsidRPr="00AF50BF">
              <w:rPr>
                <w:rFonts w:hAnsi="Bookman Old Style"/>
                <w:b w:val="0"/>
                <w:color w:val="6191C5"/>
                <w:sz w:val="30"/>
                <w:szCs w:val="30"/>
              </w:rPr>
              <w:t xml:space="preserve">, </w:t>
            </w:r>
            <w:r w:rsidRPr="00AF50BF">
              <w:rPr>
                <w:rFonts w:hAnsi="Bookman Old Style"/>
                <w:b w:val="0"/>
                <w:sz w:val="24"/>
                <w:szCs w:val="24"/>
              </w:rPr>
              <w:t xml:space="preserve">Mandat Zygmunta Starego z 17 V </w:t>
            </w:r>
            <w:r w:rsidRPr="00AF50BF">
              <w:rPr>
                <w:rFonts w:hAnsi="Bookman Old Style"/>
                <w:sz w:val="24"/>
              </w:rPr>
              <w:t>1508 r.</w:t>
            </w:r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</w:p>
          <w:p w:rsidR="00BC1267" w:rsidRPr="00AF50BF" w:rsidRDefault="0000005B">
            <w:pPr>
              <w:jc w:val="both"/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hyperlink r:id="rId7">
              <w:r w:rsidRPr="00AF50BF">
                <w:rPr>
                  <w:rStyle w:val="Hipercze"/>
                  <w:rFonts w:hAnsi="Bookman Old Style"/>
                  <w:sz w:val="24"/>
                  <w:szCs w:val="24"/>
                </w:rPr>
                <w:t>http://teatrnn.pl/lublinwdokumencie/</w:t>
              </w:r>
            </w:hyperlink>
            <w:r w:rsidRPr="00AF50BF">
              <w:rPr>
                <w:rFonts w:hAnsi="Bookman Old Style"/>
                <w:sz w:val="24"/>
                <w:szCs w:val="24"/>
              </w:rPr>
              <w:t>; 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Księga wpisów kancelarii koronnej podkanclerzego Tomasza Zamoyskiego z lat 1628-1635 ze zbiorów sztokholmskiego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Riksarkivet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sygnatura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Skokloster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E[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nskilda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>] 8636</w:t>
            </w:r>
            <w:r w:rsidRPr="00AF50BF">
              <w:rPr>
                <w:rFonts w:hAnsi="Bookman Old Style"/>
                <w:sz w:val="24"/>
                <w:szCs w:val="24"/>
              </w:rPr>
              <w:t>, opr. W. Krawczuk (Kraków, 1999). 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W.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Chorążyczewski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„Nowożytny dokument królewski. Możliwości badawcze”, w: W.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Chorążyczewski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W. Krawczuk,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Polska kancelaria królewska czasów nowożytnych miedzy władzą a społeczeństwem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2003); W.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Chorążyczewski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Przemiany organizacyjne polskiej kancelarii królewskiej u progu czasów nowożytnych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2007); W. Krawczuk,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Metrykanci koronni. Rozwój registratury centralnej od XVI do XVIII</w:t>
            </w:r>
            <w:r w:rsidRPr="00AF50BF">
              <w:rPr>
                <w:rFonts w:hAnsi="Bookman Old Style"/>
                <w:sz w:val="24"/>
                <w:szCs w:val="24"/>
              </w:rPr>
              <w:t xml:space="preserve"> wieku (Kraków, 2001).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2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Dokumentacja Skarbu Koronnego – inwentarze dóbr królewskich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Falniowska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-Gradowska &amp; F. Leśniak, wyd.,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Lustracja województwa krakowskiego 1659-1664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Cz. 1-2 (Warszawa: 2005)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K. Chłapowski, J.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Dygdała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„Prace edytorskie nad lustracjami dóbr królewskich XVI–XVIII w. po półwieczu,”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Studia Źródłoznawcze</w:t>
            </w:r>
            <w:r w:rsidRPr="00AF50BF">
              <w:rPr>
                <w:rFonts w:hAnsi="Bookman Old Style"/>
                <w:sz w:val="24"/>
                <w:szCs w:val="24"/>
              </w:rPr>
              <w:t xml:space="preserve"> 43 (2005): 161-172;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Klonder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D. Główka, „Inwentarze mienia w badaniach kultury Europy od średniowiecza po nowożytność,”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Kwartalnik Historii Kultury Materialnej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 2 (2003): 177-182; A. </w:t>
            </w:r>
            <w:r w:rsidRPr="00AF50BF">
              <w:rPr>
                <w:rFonts w:hAnsi="Bookman Old Style"/>
                <w:sz w:val="24"/>
                <w:szCs w:val="24"/>
              </w:rPr>
              <w:lastRenderedPageBreak/>
              <w:t xml:space="preserve">Wyczański, „Oświata a pozycja społeczna w Polsce XVI stulecia. Próba oceny umiejętności pisania szlachty województwa krakowskiego w drugiej połowie XVI wieku,” 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Społeczeństwo staropolskie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t. 1 (Warszawa, 1976), s. 27-55.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lastRenderedPageBreak/>
              <w:t>Temat 3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Dokumentacja Skarbu Koronnego – źródła podatkowe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 xml:space="preserve">Źródła 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i/>
                <w:sz w:val="24"/>
                <w:szCs w:val="24"/>
              </w:rPr>
              <w:t>Rejestr poborowy powiatu sandomierskiego z roku 1629,</w:t>
            </w:r>
            <w:r w:rsidRPr="00AF50BF">
              <w:rPr>
                <w:rFonts w:hAnsi="Bookman Old Style"/>
                <w:sz w:val="24"/>
                <w:szCs w:val="24"/>
              </w:rPr>
              <w:t xml:space="preserve"> wyd. Z. Guldon, L. Stępkowski, Z.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Trawicka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>, „Teki Archiwalne” 1989, t. 21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Z. Guldon, K. Wajda,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Źródła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statystyczne do dziejów Pomorza Wschodniego i Kujaw od XVI do początków XX w. </w:t>
            </w:r>
            <w:r w:rsidRPr="00AF50BF">
              <w:rPr>
                <w:rFonts w:hAnsi="Bookman Old Style"/>
                <w:sz w:val="24"/>
                <w:szCs w:val="24"/>
              </w:rPr>
              <w:t xml:space="preserve">(Toruń, 1970); Z.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Anusik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„Struktura własności ziemskiej w powiecie pilzneńskim w roku 1629”, Przegląd Nauk Historycznych 10.2 (2011): 69-108;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„Własność ziemska w powiecie sandomierskim w roku 1629”, ibidem, 11.2 (2012): 25-80;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Laszuk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Ludność województwa podlaskiego w drugiej połowie XVII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1999);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Laszuk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Rejestry podatkowe z XVI-XVIII w. jako źródło do badań osadniczych i demograficznych województwa podlaskiego</w:t>
            </w:r>
            <w:r w:rsidRPr="00AF50BF">
              <w:rPr>
                <w:rFonts w:hAnsi="Bookman Old Style"/>
                <w:sz w:val="24"/>
                <w:szCs w:val="24"/>
              </w:rPr>
              <w:t>, „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Archeion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” 92 (1993): 49-61.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4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Kancelarie grodzkie i ich księgi wpisów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J. Łosowski,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Kancelaria grodzka chełmska od XV do XVIII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(Lublin, 2004); W.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Uruszczak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„Edycje źródłowe ksiąg sądowych,” w: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Perłakowski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Teoria i praktyka edycji nowożytnych źródeł w Polsce (XVI-XVIII w.)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(Kraków, 2011), s. 57-70.  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5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Inwentarze i akta podziałów dóbr ziemskich jako źródła do badań codzienności szlachty polskiej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i/>
                <w:sz w:val="24"/>
                <w:szCs w:val="24"/>
              </w:rPr>
              <w:t>Źródła i materiały do dziejów szlachty województwa sandomierskiego w XVI-XVIII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t. 2: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Inwentarze dóbr ziemskich z XVII-XVIII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cz. 1, wyd. J. Pielas (Kielce, 2013); ibidem, t. 3: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Akty podziałów dóbr ziemskich szlachty sandomierskiej z XVII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(Kielce, 2014)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J. Pielas,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Podziały majątkowe szlachty koronnej w XVII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(Kielce, 2013)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6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Księgi uposażeń i księgi retaksacji beneficjów w systemie skarbowości polskiej i kancelariach instytucji kościelnych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  <w:lang w:val="en-US"/>
              </w:rPr>
              <w:t xml:space="preserve">Jan </w:t>
            </w:r>
            <w:proofErr w:type="spellStart"/>
            <w:r w:rsidRPr="00AF50BF">
              <w:rPr>
                <w:rFonts w:hAnsi="Bookman Old Style"/>
                <w:sz w:val="24"/>
                <w:szCs w:val="24"/>
                <w:lang w:val="en-US"/>
              </w:rPr>
              <w:t>Długosz</w:t>
            </w:r>
            <w:proofErr w:type="spellEnd"/>
            <w:r w:rsidRPr="00AF50BF">
              <w:rPr>
                <w:rFonts w:hAnsi="Bookman Old Style"/>
                <w:sz w:val="24"/>
                <w:szCs w:val="24"/>
                <w:lang w:val="en-US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  <w:lang w:val="en-US"/>
              </w:rPr>
              <w:t xml:space="preserve">Liber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  <w:lang w:val="en-US"/>
              </w:rPr>
              <w:t>Beneficiorum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  <w:lang w:val="en-US"/>
              </w:rPr>
              <w:t>dioecesis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  <w:lang w:val="en-US"/>
              </w:rPr>
              <w:t>Cracoviensis</w:t>
            </w:r>
            <w:proofErr w:type="spellEnd"/>
            <w:r w:rsidRPr="00AF50BF">
              <w:rPr>
                <w:rFonts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0BF">
              <w:rPr>
                <w:rFonts w:hAnsi="Bookman Old Style"/>
                <w:sz w:val="24"/>
                <w:szCs w:val="24"/>
                <w:lang w:val="en-US"/>
              </w:rPr>
              <w:t>wyd</w:t>
            </w:r>
            <w:proofErr w:type="spellEnd"/>
            <w:r w:rsidRPr="00AF50BF">
              <w:rPr>
                <w:rFonts w:hAnsi="Bookman Old Style"/>
                <w:sz w:val="24"/>
                <w:szCs w:val="24"/>
                <w:lang w:val="en-US"/>
              </w:rPr>
              <w:t xml:space="preserve">. </w:t>
            </w:r>
            <w:r w:rsidRPr="00AF50BF">
              <w:rPr>
                <w:rFonts w:hAnsi="Bookman Old Style"/>
                <w:sz w:val="24"/>
                <w:szCs w:val="24"/>
              </w:rPr>
              <w:t xml:space="preserve">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Przeździecki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t. 2,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Opera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omnia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t. 8, Kraków 1863-1864, s. 320;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Księga dochodów beneficjów diecezji krakowskiej z roku 1529 (tzw. Liber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retaxationum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>),</w:t>
            </w:r>
            <w:r w:rsidRPr="00AF50BF">
              <w:rPr>
                <w:rFonts w:hAnsi="Bookman Old Style"/>
                <w:sz w:val="24"/>
                <w:szCs w:val="24"/>
              </w:rPr>
              <w:t xml:space="preserve"> wyd. Z. Leszczyńska-Skrętowa, Wrocław 1968, s. 367-369.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lastRenderedPageBreak/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S. Kuraś,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Regestrum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Ecclesiae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Cracoviensis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. Studium nad powstaniem tzw. Liber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Beneficiorum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Jana Długosza</w:t>
            </w:r>
            <w:r w:rsidRPr="00AF50BF">
              <w:rPr>
                <w:rFonts w:hAnsi="Bookman Old Style"/>
                <w:sz w:val="24"/>
                <w:szCs w:val="24"/>
              </w:rPr>
              <w:t>, Warszawa 1966; Karbownik H., „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Libri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retaxationum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a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libri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beneficiorum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w systemie skarbowości kościelnej w Polsce XV i XVI wieku”,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Czasopismo Prawno-Historyczne</w:t>
            </w:r>
            <w:r w:rsidRPr="00AF50BF">
              <w:rPr>
                <w:rFonts w:hAnsi="Bookman Old Style"/>
                <w:sz w:val="24"/>
                <w:szCs w:val="24"/>
              </w:rPr>
              <w:t xml:space="preserve"> 1970, t. 22, z. 1; W. Kowalski, „Znaczenie archiwów parafialnych w badaniach nad dziejami przedrozbiorowymi”,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Archiwa, Biblioteki i Muzea Kościelne</w:t>
            </w:r>
            <w:r w:rsidRPr="00AF50BF">
              <w:rPr>
                <w:rFonts w:hAnsi="Bookman Old Style"/>
                <w:sz w:val="24"/>
                <w:szCs w:val="24"/>
              </w:rPr>
              <w:t>, 75 (2001): 19-63.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7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Dokument i księga wpisów w kancelariach biskupów i ich oficjałów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Archiwum Kapituły Katedralnej w Sandomierzu, Acta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officialia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>, 107, 817.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H. E.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Wyczawski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Przygotowanie do studiów w archiwach kościelnych (Kalwaria Zebrzydowska, 1989); E. Knapek,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Akta oficja latu i wikariatu generalnego krakowskiego do połowy XVI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2010); A. Tomczak,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Kancelaria biskupów włocławskich w okresie księgi wpisów (XV-XVIII w.)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1964); E. Knapek,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Akta oficjalatu i wikariatu generalnego krakowskiego do połowy XVI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2010).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8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Źródła do dziejów parafii i materialnego bytowania duchowieństwa staropolskiego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Professio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fidei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per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Rębieszowski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canonicum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Opathoviensem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1573, Acta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officialatus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Sandomiriensis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Archiwum Kapituły Katedralnej w Sandomierzu, sygn. 107, k. 113v-114; D. Główka, wyd., „Odbudowa majątku plebańskiego na Mazowszu w początkach XVIII w. w świetle rachunków parafii w Lachowie”,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Kwartalnik Historii Kultury Materialnej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  37.2 (1989): 365-368; W. Urban, wyd., „Wieś a plebania, czyli notatnik plebana z Gdowa z lat 1597 – 1604”,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Przegląd Historyczny</w:t>
            </w:r>
            <w:r w:rsidRPr="00AF50BF">
              <w:rPr>
                <w:rFonts w:hAnsi="Bookman Old Style"/>
                <w:sz w:val="24"/>
                <w:szCs w:val="24"/>
              </w:rPr>
              <w:t xml:space="preserve"> 83.1 (1992): 93-104; W. Kowalski, wyd.,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Ks. Mateusz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Sowicki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>, pleban – gospodarz w Niekrasowie drugiej połowy XVIII w.,</w:t>
            </w:r>
            <w:r w:rsidRPr="00AF50BF">
              <w:rPr>
                <w:rFonts w:hAnsi="Bookman Old Style"/>
                <w:sz w:val="24"/>
                <w:szCs w:val="24"/>
              </w:rPr>
              <w:t xml:space="preserve"> „Nasza Przeszłość”, t. 93, 2000, s. 379-397</w:t>
            </w:r>
          </w:p>
        </w:tc>
      </w:tr>
      <w:tr w:rsidR="00BC1267" w:rsidRPr="00AF50BF">
        <w:trPr>
          <w:trHeight w:val="2502"/>
        </w:trPr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D. Główka,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Majątek osobisty duchowieństwa katolickiego w Koronie w XVII i XVIII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2004); tenże, „Akta wizytacji kościelnych z wieków XVI – XVIII jako źródło do historii kultury materialnej: gospodarstwo wiejskie w dobrach parafialnych w archidiakonacie warszawskim”,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Szkice z dziejów materialnego bytowania społeczeństwa polskiego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red. M. Dembińska (Wrocław, 1989): 233-251; W. Kowalski, „Ad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perpetuam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rei memoriam... Kopiariusz parafii Dobrowoda i jego autor Wojciech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Chotelski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”, w: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Mundus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hominis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– cywilizacja, kultura, natura. Wokół interdyscyplinarności badań historycznych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red. S. Rosik, P.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Wiszewski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(Ad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fontes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. Interdyscyplinarne spotkania historyczne VI. Acta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Universitatis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Wratislaviensis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No 2966), Wrocław 2006 [2007], s. 339-355;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„Znaczenie archiwów parafialnych w badaniach nad dziejami przedrozbiorowymi”,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Archiwa, Biblioteki i Muzea Kościelne</w:t>
            </w:r>
            <w:r w:rsidRPr="00AF50BF">
              <w:rPr>
                <w:rFonts w:hAnsi="Bookman Old Style"/>
                <w:sz w:val="24"/>
                <w:szCs w:val="24"/>
              </w:rPr>
              <w:t>, 75 (2001): 19-63.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lastRenderedPageBreak/>
              <w:t>Temat 9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Archiwa dworów szlacheckich: pamiętniki i </w:t>
            </w:r>
            <w:r w:rsidRPr="00AF50BF">
              <w:rPr>
                <w:rFonts w:hAnsi="Bookman Old Style"/>
                <w:b/>
                <w:i/>
                <w:color w:val="FF0000"/>
                <w:sz w:val="24"/>
                <w:szCs w:val="24"/>
              </w:rPr>
              <w:t>silva rerum</w:t>
            </w: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M.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Matuszewicz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Diariusz życia mego</w:t>
            </w:r>
            <w:r w:rsidRPr="00AF50BF">
              <w:rPr>
                <w:rFonts w:hAnsi="Bookman Old Style"/>
                <w:sz w:val="24"/>
                <w:szCs w:val="24"/>
              </w:rPr>
              <w:t>, t. 1-3, wyd. B. Królikowski (Warszawa, 1986)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M. Zachara, „Silva rerum”,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Słownik literatury staropolskiej: Średniowiecze – Renesans – Barok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pod red. T. Michałowskiej (Wrocław, 1998), 872-875; W. Nowosad,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Archiwa szlachty Prus Królewskich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2004);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„Skarbnice pamięci": prywatne archiwa szlacheckie w XVII i XVIII wieku”,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Cywilizacja prowincji Rzeczpospolitej szlacheckiej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red. A. Jankowski,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Klonder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(Bydgoszcz, 2004), 25-39; .S. Roszak,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Archiwa sarmackiej pamięci: funkcje i znaczenie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re</w:t>
            </w:r>
            <w:r w:rsidRPr="00AF50BF">
              <w:rPr>
                <w:rFonts w:ascii="Times New Roman"/>
                <w:i/>
                <w:sz w:val="24"/>
                <w:szCs w:val="24"/>
              </w:rPr>
              <w:t>̨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kopiśmiennych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ksia</w:t>
            </w:r>
            <w:r w:rsidRPr="00AF50BF">
              <w:rPr>
                <w:rFonts w:ascii="Times New Roman"/>
                <w:i/>
                <w:sz w:val="24"/>
                <w:szCs w:val="24"/>
              </w:rPr>
              <w:t>̨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g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silva rerum w kulturze Rzeczypospolitej XVIII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2004);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„Między sylwą a encyklopedią : Skarbiec rozmaitych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sciencyi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nieznanego Litwina z 1759 roku”,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Staropolskie kompendia wiedzy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pod red. Iwony M.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Dackiej-Górzyńskiej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i Joanny Partyki (Warszawa, 2009), 173-182.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10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Źródła do dziejów Kościoła ewangelicko-reformowanego oraz polemiki wyznaniowej czasów Reformacji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M.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Sipayłło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wyd.,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Akta synodów różnowierczych w Polsce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t. 3 (Małopolska 1571-1632) (Warszawa, 1983) s. 50-57; W. Węgierski,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Kronika zboru ewangelickiego krakowskiego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M. Pawelec (Kraków, 2007); W. Kowalski, M. Lubczyński, wyd., „Testament Jana Piaskowskiego, miecznika łęczyckiego i podżupka wielickiego”,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Odrodzenie i Reformacja w Polsce</w:t>
            </w:r>
            <w:r w:rsidRPr="00AF50BF">
              <w:rPr>
                <w:rFonts w:hAnsi="Bookman Old Style"/>
                <w:sz w:val="24"/>
                <w:szCs w:val="24"/>
              </w:rPr>
              <w:t xml:space="preserve"> 52 (2008): 237-238.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S. Tworek, „Z zagadnień organizacji zborów kalwińskich w Małopolsce w XVI-XVII wieku,”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Rocznik Lubelski</w:t>
            </w:r>
            <w:r w:rsidRPr="00AF50BF">
              <w:rPr>
                <w:rFonts w:hAnsi="Bookman Old Style"/>
                <w:sz w:val="24"/>
                <w:szCs w:val="24"/>
              </w:rPr>
              <w:t xml:space="preserve"> 8 (1965); J. T.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Maciuszko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„Bariery dialogu międzywyznaniowego w XVI i XVII wieku”,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Sztuka i dialog wyznań w XVI i XVII wieku. Materiały Sesji Stowarzyszenia Historyków Sztuki. Wrocław, listopad 1999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red. J. Harasimowicz (Warszawa, 2000); W. Kowalski, „Ogląd peryferyjny. Małopolscy Szkoci w ewangelickiej wspólnocie doświadczeń (druga połowa XVI-pierwsza połowa XVII w.),” w: B. Rok, F. Wolański,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Staropolski ogląd świata. Tożsamość i odmienność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2011).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11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 xml:space="preserve">Źródła do dziejów miast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AP Kielce, Akta m. Sandomierza, sygn. 8; J. Małecki, wyd.,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Lustracja województwa krakowskiego 1564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cz. 1 (Warszawa, 1962) s. 3-11; H. Barycz, wyd.,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Kronika mieszczanina krakowskiego z lat 1575-1595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1930). Opis Krakowa z 1614 r. z ksiąg miejskich w AP Kraków.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J. Łosowski,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Kancelarie miast szlacheckich województwa lubelskiego od XV do XVIII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(Lublin, 1997); Z. Noga,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Krakowska rada miejska w XVI wieku. Studium o elicie władzy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2003); W. Bukowski &amp; Z. Noga, “Ustrój miasta Krakowa w XIII-XVIII wieku”, w: G.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Lichończak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-Nurek,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Kraków: europejskie miasto </w:t>
            </w:r>
            <w:r w:rsidRPr="00AF50BF">
              <w:rPr>
                <w:rFonts w:hAnsi="Bookman Old Style"/>
                <w:i/>
                <w:sz w:val="24"/>
                <w:szCs w:val="24"/>
              </w:rPr>
              <w:lastRenderedPageBreak/>
              <w:t>prawa magdeburskiego, 1257-1791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2007); D. Burdzy, „Lauda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seu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plebiscita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. Wilkierze XVI-wiecznego Sandomierza”,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Miasta polskie w średniowieczu i czasach nowożytnych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2008).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lastRenderedPageBreak/>
              <w:t>Temat 12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Testamenty, inwentarze mienia i kosztów pogrzebów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M. Borkowska,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Dekret w niebieskim ferowany parlamencie: wybór testamentów z XVII-XVIII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1984); E. Danowska, opr.,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Dług śmiertelności wypłacić potrzeba. Wybór testamentów mieszczan krakowskich z XVII-XVIII wieku </w:t>
            </w:r>
            <w:r w:rsidRPr="00AF50BF">
              <w:rPr>
                <w:rFonts w:hAnsi="Bookman Old Style"/>
                <w:sz w:val="24"/>
                <w:szCs w:val="24"/>
              </w:rPr>
              <w:t xml:space="preserve">(Kraków, 2011);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Falniowska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-Gradowska,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Testamenty szlachty krakowskiej XVII-XVIII w</w:t>
            </w:r>
            <w:r w:rsidRPr="00AF50BF">
              <w:rPr>
                <w:rFonts w:hAnsi="Bookman Old Style"/>
                <w:sz w:val="24"/>
                <w:szCs w:val="24"/>
              </w:rPr>
              <w:t xml:space="preserve">. (Kraków, 1997); M. Lubczyński, J. Pielas, H.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Suchojad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wyd.,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Wybór testamentów staropolskich z województwa sandomierskiego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2005); E. E. Wróbel,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Kościołowi mojemu jako kochanej oblubienicy mojej. Wybór testamentów duchownych małopolskich z XVII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2010); W. Kowalski, wyd., „Pogrzeby mieszczan w  świetle  rachunków ich bliskich – trzy krakowskie świadectwa  z połowy XVII wieku,”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Sic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erat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in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fatis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>. Studia i szkice historyczne dedykowane Profesorowi Bogdanowi Rokowi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red.: E.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Kościk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R. Żerelik, P.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Badyna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>, F. Wolański, t. 1, Toruń 2012, s. 251-259.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B. Popiołek,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„Woli mojej ostatniej testament ten…”. Testamenty staropolskie jako źródło do historii mentalności XVII i XVIII wieku </w:t>
            </w:r>
            <w:r w:rsidRPr="00AF50BF">
              <w:rPr>
                <w:rFonts w:hAnsi="Bookman Old Style"/>
                <w:sz w:val="24"/>
                <w:szCs w:val="24"/>
              </w:rPr>
              <w:t xml:space="preserve">(Kraków, 2009); K.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Justyniarska-Chojak,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Testamenty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i inwentarze pośmiertne z ksiąg miejskich województwa (XVI-XVIII wiek) </w:t>
            </w:r>
            <w:r w:rsidRPr="00AF50BF">
              <w:rPr>
                <w:rFonts w:hAnsi="Bookman Old Style"/>
                <w:sz w:val="24"/>
                <w:szCs w:val="24"/>
              </w:rPr>
              <w:t xml:space="preserve">(Kielce, 2010);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Testamenty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szewińskich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chłopów z połowy XVII stulecia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W. Kowalski, w: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W kręgu historii, gospodarki i kultury. Studia dedykowane Profesorowi Jerzemu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Piwkowi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w siedemdziesiąta rocznicę urodzin</w:t>
            </w:r>
            <w:r w:rsidRPr="00AF50BF">
              <w:rPr>
                <w:rFonts w:hAnsi="Bookman Old Style"/>
                <w:sz w:val="24"/>
                <w:szCs w:val="24"/>
              </w:rPr>
              <w:t>, red. S. Piątkowski, Ostrowi</w:t>
            </w:r>
            <w:r w:rsidR="00B02B4B" w:rsidRPr="00AF50BF">
              <w:rPr>
                <w:rFonts w:hAnsi="Bookman Old Style"/>
                <w:sz w:val="24"/>
                <w:szCs w:val="24"/>
              </w:rPr>
              <w:t xml:space="preserve">ec Świętokrzyski 2004, s. 25-31; R. Żurkowa, </w:t>
            </w:r>
            <w:r w:rsidR="00B02B4B" w:rsidRPr="00AF50BF">
              <w:rPr>
                <w:rFonts w:hAnsi="Bookman Old Style"/>
                <w:i/>
                <w:sz w:val="24"/>
                <w:szCs w:val="24"/>
              </w:rPr>
              <w:t>Testamenty i inwentarze ruchomości jako źródło do badań nad dziejami czytelnictwa w Krakowie  pierwszej połowie XVII wieku</w:t>
            </w:r>
            <w:r w:rsidR="00B02B4B" w:rsidRPr="00AF50BF">
              <w:rPr>
                <w:rFonts w:hAnsi="Bookman Old Style"/>
                <w:sz w:val="24"/>
                <w:szCs w:val="24"/>
              </w:rPr>
              <w:t>, „Rocznik Biblioteki PAN w Krakowie”, 27, 1982, s. 17-33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13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Kazania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H.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Przetocki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Łabędź żałośnie śpiewający nad grobem wielmożnego Pana P.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Mokołaja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Dunina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Modliszowskiego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(Kraków, 1643)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T. Szostek, „Kazanie,” w: T. Michałowska,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Słownik literatury staropolskiej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(Wrocław, 1998); D.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Platt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Kazania pogrzebowe z przełomu XVI i XVII wieku. Z dziejów prozy staropolskiej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(Wrocław, 1992); J. S. Pasierb, „Miejsce kaznodziejstwa w kulturze polskiej,” w: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Pionowy wymiar kultury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1983); H.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Dziechcińska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Kultura żywego słowa w dawnej Polsce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1989).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14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Relacje z podróży i poradniki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lastRenderedPageBreak/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M. K. Radziwiłł,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Podróż do Ziemi Świętej, Syrii i Egiptu 1582-1584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opr. L. Kukulski (Warszawa, 1962); toż jako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Peregrynaya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albo pielgrzymowanie do Jeruzalem, Ziemie Świętej [- -] przedrukowane 1745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(Elbląska Biblioteka Cyfrowa)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H.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Dziechcińska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O staropolskich dziennikach podróży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1991); B. Rok, B. Rok,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Kalendarze polskie czasów saskich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(Wrocław, 1985); „Staropolskie opisy podróży jako źródła historyczne”,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Acta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Universitatis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Wratislaviensis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nr 2783, Historia CLXXI, 2005, s. 519-524; F. Wolański, „Realia podróży zakonnych peregrynantów w świetle staropolskich narracji – poszukiwanie realiów europejskich. Konfrontacja krajów Zachodu z kulturą Rzeczypospolitej w XVIII wieku”, w: B. Rok, F. Wolański,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Staropolski ogląd świata. Tożsamość i odmienność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(Toruń, 2011), s. 140-163; I. M.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Dacka_Górzyńska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&amp; J. Partyka,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Staropolskie kompendia wiedzy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2009).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15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Źródła epigraficzne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i/>
                <w:sz w:val="24"/>
                <w:szCs w:val="24"/>
              </w:rPr>
              <w:t xml:space="preserve">Corpus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Inscriptionum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Poloniœ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t. 1: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Województwo kieleckie</w:t>
            </w:r>
            <w:r w:rsidRPr="00AF50BF">
              <w:rPr>
                <w:rFonts w:hAnsi="Bookman Old Style"/>
                <w:sz w:val="24"/>
                <w:szCs w:val="24"/>
              </w:rPr>
              <w:t>, pod red. J. Szymańskiego, z. 1-5 (Kielce, 1975-1986).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J. Szymański, „Badania nad polska epigrafiką,” w: T. Giergiel &amp; B. Trelińska,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Opera minora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selecta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i/>
                <w:sz w:val="24"/>
                <w:szCs w:val="24"/>
              </w:rPr>
              <w:t>Josephi</w:t>
            </w:r>
            <w:proofErr w:type="spellEnd"/>
            <w:r w:rsidRPr="00AF50BF">
              <w:rPr>
                <w:rFonts w:hAnsi="Bookman Old Style"/>
                <w:i/>
                <w:sz w:val="24"/>
                <w:szCs w:val="24"/>
              </w:rPr>
              <w:t xml:space="preserve"> Szymański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(Warszawa, 2009), s. 267-281; W. Kowalski, „Jak doświadczenia z prac nad Corpus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inscriptionum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Poloniœ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wykorzystac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można w edytorstwie źródeł nowożytnych?”, w: A.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Perłakowski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, red.,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Teoria i praktyka edycji nowożytnych źródeł w Polsce (XVI-XVIII w.)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(Kraków, 2011), s. 87-92.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16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Źródła do badań nad demografią staropolską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i/>
                <w:sz w:val="24"/>
                <w:szCs w:val="24"/>
              </w:rPr>
              <w:t>Rejestr poborowy powiatu sandomierskiego z roku 1629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Z. Guldon, L. Stępkowski, Z.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Trawicka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>, „Teki Archiwalne” 1989, t. 21, s. 17-108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C. Kuklo,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Demografia Rzeczypospolitej przedrozbiorowej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Warszawa 2009; Z. Guldon, K. Wajda,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Źródła statystyczne do dziejów Pomorza Wschodniego i Kujaw od XVI do początków XX w</w:t>
            </w:r>
            <w:r w:rsidRPr="00AF50BF">
              <w:rPr>
                <w:rFonts w:hAnsi="Bookman Old Style"/>
                <w:sz w:val="24"/>
                <w:szCs w:val="24"/>
              </w:rPr>
              <w:t xml:space="preserve">., Toruń 1970; W. Kowalski, „Znaczenie archiwów parafialnych w badaniach nad dziejami przedrozbiorowymi”,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Archiwa, Biblioteki i Muzea Kościelne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75 (2001): 19-63.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17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Źródła do dziejów handlu w Rzeczypospolitej XVI-XVII wieku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C1267" w:rsidRPr="00AF50BF" w:rsidRDefault="0000005B">
            <w:pPr>
              <w:jc w:val="center"/>
              <w:rPr>
                <w:rFonts w:hAnsi="Bookman Old Style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</w:p>
        </w:tc>
        <w:tc>
          <w:tcPr>
            <w:tcW w:w="4155" w:type="pct"/>
          </w:tcPr>
          <w:p w:rsidR="00BC1267" w:rsidRPr="00AF50BF" w:rsidRDefault="0000005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i/>
                <w:sz w:val="24"/>
                <w:szCs w:val="24"/>
              </w:rPr>
              <w:t>Handel żydowski w Krakowie w końcu XVI i w XVII wieku: wypisy z krakowskich rejestrów celnych z lat 1593-1683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J. M. Małecki, E.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Szlufik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(Kraków, 1995);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 xml:space="preserve">Regestr celny nowodworski tak dolny jako i górny </w:t>
            </w:r>
            <w:r w:rsidRPr="00AF50BF">
              <w:rPr>
                <w:rFonts w:hAnsi="Bookman Old Style"/>
                <w:i/>
                <w:sz w:val="24"/>
                <w:szCs w:val="24"/>
              </w:rPr>
              <w:lastRenderedPageBreak/>
              <w:t>na wiosnę i jesień in anno 1662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S. Kazusek (Kielce, 2011);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Handel żydowski Krakowa w połowie XVII wieku: tabele materiałowe i statystyczne</w:t>
            </w:r>
            <w:r w:rsidRPr="00AF50BF">
              <w:rPr>
                <w:rFonts w:hAnsi="Bookman Old Style"/>
                <w:sz w:val="24"/>
                <w:szCs w:val="24"/>
              </w:rPr>
              <w:t xml:space="preserve">, wyd.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idem</w:t>
            </w:r>
            <w:proofErr w:type="spellEnd"/>
            <w:r w:rsidRPr="00AF50BF">
              <w:rPr>
                <w:rFonts w:hAnsi="Bookman Old Style"/>
                <w:sz w:val="24"/>
                <w:szCs w:val="24"/>
              </w:rPr>
              <w:t xml:space="preserve"> (Kielce, 2006) </w:t>
            </w:r>
          </w:p>
        </w:tc>
      </w:tr>
      <w:tr w:rsidR="00BC1267" w:rsidRPr="00AF50BF">
        <w:tc>
          <w:tcPr>
            <w:tcW w:w="845" w:type="pct"/>
            <w:shd w:val="clear" w:color="auto" w:fill="E6E6E6"/>
            <w:vAlign w:val="center"/>
          </w:tcPr>
          <w:p w:rsidR="00B02B4B" w:rsidRPr="00AF50BF" w:rsidRDefault="0000005B">
            <w:pPr>
              <w:jc w:val="center"/>
              <w:rPr>
                <w:rFonts w:hAnsi="Bookman Old Style"/>
                <w:b/>
                <w:sz w:val="24"/>
                <w:szCs w:val="24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lastRenderedPageBreak/>
              <w:t>Literatura</w:t>
            </w:r>
          </w:p>
          <w:p w:rsidR="00944336" w:rsidRDefault="00944336" w:rsidP="00B02B4B">
            <w:pPr>
              <w:jc w:val="center"/>
              <w:rPr>
                <w:rFonts w:hAnsi="Bookman Old Style"/>
                <w:b/>
                <w:sz w:val="24"/>
                <w:szCs w:val="24"/>
              </w:rPr>
            </w:pPr>
          </w:p>
          <w:p w:rsidR="00D939BA" w:rsidRPr="00AF50BF" w:rsidRDefault="00B02B4B" w:rsidP="00B02B4B">
            <w:pPr>
              <w:jc w:val="center"/>
              <w:rPr>
                <w:rFonts w:hAnsi="Bookman Old Style"/>
              </w:rPr>
            </w:pPr>
            <w:r w:rsidRPr="00944336">
              <w:rPr>
                <w:rFonts w:hAnsi="Bookman Old Style"/>
                <w:b/>
                <w:color w:val="FF0000"/>
                <w:sz w:val="24"/>
                <w:szCs w:val="24"/>
              </w:rPr>
              <w:t>Temat 18</w:t>
            </w:r>
          </w:p>
        </w:tc>
        <w:tc>
          <w:tcPr>
            <w:tcW w:w="4155" w:type="pct"/>
          </w:tcPr>
          <w:p w:rsidR="00840BA1" w:rsidRPr="00AF50BF" w:rsidRDefault="0000005B" w:rsidP="00B02B4B">
            <w:pPr>
              <w:rPr>
                <w:rFonts w:hAnsi="Bookman Old Style"/>
              </w:rPr>
            </w:pPr>
            <w:r w:rsidRPr="00AF50BF">
              <w:rPr>
                <w:rFonts w:hAnsi="Bookman Old Style"/>
                <w:sz w:val="24"/>
                <w:szCs w:val="24"/>
              </w:rPr>
              <w:t xml:space="preserve">J. M Małecki, „Krakowskie księgi celne i problem ich wydania”,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Kwartalnik Historii Kultury Materialnej</w:t>
            </w:r>
            <w:r w:rsidRPr="00AF50BF">
              <w:rPr>
                <w:rFonts w:hAnsi="Bookman Old Style"/>
                <w:sz w:val="24"/>
                <w:szCs w:val="24"/>
              </w:rPr>
              <w:t xml:space="preserve"> 9.2 (1961): 251-273; S. Kazusek, </w:t>
            </w:r>
            <w:r w:rsidRPr="00AF50BF">
              <w:rPr>
                <w:rFonts w:hAnsi="Bookman Old Style"/>
                <w:i/>
                <w:sz w:val="24"/>
                <w:szCs w:val="24"/>
              </w:rPr>
              <w:t>Żydzi w handlu Krakowa w połowie XVII wieku</w:t>
            </w:r>
            <w:r w:rsidRPr="00AF50BF">
              <w:rPr>
                <w:rFonts w:hAnsi="Bookman Old Style"/>
                <w:sz w:val="24"/>
                <w:szCs w:val="24"/>
              </w:rPr>
              <w:t xml:space="preserve"> (Kraków, 2005) </w:t>
            </w:r>
          </w:p>
        </w:tc>
      </w:tr>
      <w:tr w:rsidR="00840BA1" w:rsidRPr="00AF50BF">
        <w:tc>
          <w:tcPr>
            <w:tcW w:w="845" w:type="pct"/>
            <w:shd w:val="clear" w:color="auto" w:fill="E6E6E6"/>
            <w:vAlign w:val="center"/>
          </w:tcPr>
          <w:p w:rsidR="00840BA1" w:rsidRPr="00AF50BF" w:rsidRDefault="00840BA1">
            <w:pPr>
              <w:jc w:val="center"/>
              <w:rPr>
                <w:rFonts w:hAnsi="Bookman Old Style"/>
                <w:b/>
                <w:sz w:val="24"/>
                <w:szCs w:val="24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Źródła</w:t>
            </w:r>
            <w:bookmarkStart w:id="0" w:name="_GoBack"/>
            <w:bookmarkEnd w:id="0"/>
          </w:p>
          <w:p w:rsidR="00161E05" w:rsidRPr="00AF50BF" w:rsidRDefault="00161E05">
            <w:pPr>
              <w:jc w:val="center"/>
              <w:rPr>
                <w:rFonts w:hAnsi="Bookman Old Style"/>
                <w:b/>
                <w:sz w:val="24"/>
                <w:szCs w:val="24"/>
              </w:rPr>
            </w:pPr>
          </w:p>
          <w:p w:rsidR="00161E05" w:rsidRPr="00AF50BF" w:rsidRDefault="00161E05">
            <w:pPr>
              <w:jc w:val="center"/>
              <w:rPr>
                <w:rFonts w:hAnsi="Bookman Old Style"/>
                <w:b/>
                <w:sz w:val="24"/>
                <w:szCs w:val="24"/>
              </w:rPr>
            </w:pPr>
          </w:p>
          <w:p w:rsidR="00161E05" w:rsidRPr="00AF50BF" w:rsidRDefault="00161E05">
            <w:pPr>
              <w:jc w:val="center"/>
              <w:rPr>
                <w:rFonts w:hAnsi="Bookman Old Style"/>
                <w:b/>
                <w:sz w:val="24"/>
                <w:szCs w:val="24"/>
              </w:rPr>
            </w:pPr>
            <w:r w:rsidRPr="00AF50BF">
              <w:rPr>
                <w:rFonts w:hAnsi="Bookman Old Style"/>
                <w:b/>
                <w:sz w:val="24"/>
                <w:szCs w:val="24"/>
              </w:rPr>
              <w:t>Literatura</w:t>
            </w:r>
          </w:p>
        </w:tc>
        <w:tc>
          <w:tcPr>
            <w:tcW w:w="4155" w:type="pct"/>
          </w:tcPr>
          <w:p w:rsidR="00840BA1" w:rsidRPr="00AF50BF" w:rsidRDefault="00840BA1">
            <w:pPr>
              <w:rPr>
                <w:rFonts w:hAnsi="Bookman Old Style"/>
                <w:b/>
                <w:color w:val="FF0000"/>
                <w:sz w:val="24"/>
                <w:szCs w:val="24"/>
              </w:rPr>
            </w:pPr>
            <w:r w:rsidRPr="00AF50BF">
              <w:rPr>
                <w:rFonts w:hAnsi="Bookman Old Style"/>
                <w:b/>
                <w:color w:val="FF0000"/>
                <w:sz w:val="24"/>
                <w:szCs w:val="24"/>
              </w:rPr>
              <w:t>Książki i biblioteki w XVI-XVIII wieku</w:t>
            </w:r>
          </w:p>
          <w:p w:rsidR="00840BA1" w:rsidRPr="00AF50BF" w:rsidRDefault="00161E05">
            <w:pPr>
              <w:rPr>
                <w:rFonts w:eastAsia="Calibri" w:hAnsi="Bookman Old Style" w:cs="Tahoma"/>
                <w:sz w:val="24"/>
                <w:szCs w:val="22"/>
                <w:lang w:eastAsia="en-US"/>
              </w:rPr>
            </w:pP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Inwentarz rzeczy introligatora krakowskiego Macieja Przywilckiego z r. 1587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>, wyd. A. Chmiel, „Silva Rerum”, 4, 1928, s. 175-180</w:t>
            </w:r>
            <w:r w:rsidR="00B02B4B"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; </w:t>
            </w:r>
            <w:r w:rsidRPr="00AF50BF">
              <w:rPr>
                <w:rFonts w:hAnsi="Bookman Old Style"/>
                <w:sz w:val="24"/>
                <w:szCs w:val="24"/>
              </w:rPr>
              <w:t xml:space="preserve">E. </w:t>
            </w:r>
            <w:proofErr w:type="spellStart"/>
            <w:r w:rsidRPr="00AF50BF">
              <w:rPr>
                <w:rFonts w:hAnsi="Bookman Old Style"/>
                <w:sz w:val="24"/>
                <w:szCs w:val="24"/>
              </w:rPr>
              <w:t>Torój</w:t>
            </w:r>
            <w:proofErr w:type="spellEnd"/>
            <w:r w:rsidRPr="00AF50BF">
              <w:rPr>
                <w:rFonts w:hAnsi="Bookman Old Style" w:cs="Tahoma"/>
                <w:sz w:val="24"/>
                <w:szCs w:val="24"/>
              </w:rPr>
              <w:t xml:space="preserve">, </w:t>
            </w: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Inwentarze książek lubelskich introligatorów z pierwszej połowy XVII wieku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>, Lublin 2000</w:t>
            </w:r>
          </w:p>
          <w:p w:rsidR="00B02B4B" w:rsidRPr="00AF50BF" w:rsidRDefault="00161E05" w:rsidP="00B02B4B">
            <w:pPr>
              <w:rPr>
                <w:rFonts w:eastAsia="Calibri" w:hAnsi="Bookman Old Style" w:cs="Tahoma"/>
                <w:sz w:val="24"/>
                <w:szCs w:val="22"/>
                <w:lang w:eastAsia="en-US"/>
              </w:rPr>
            </w:pP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W. Budka, </w:t>
            </w: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Biblioteka Decjuszów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>, „Silva Rerum”, 4, 1928, s. 110-126</w:t>
            </w:r>
            <w:r w:rsidR="00B02B4B"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; 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W. Kriegseisen, </w:t>
            </w: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Książka i biblioteki w kulturze ewangelików polskich w XVII i XVIII w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., w: </w:t>
            </w: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Z badań nad polskimi księgozbiorami historycznymi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, t. 13, </w:t>
            </w: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Kolekcje wyznaniowe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>, red. B. Bieńkowska, Warszawa 1992, s. 5-40</w:t>
            </w:r>
            <w:r w:rsidR="00B02B4B"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; 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P. Buchwald-Pelcowa, </w:t>
            </w:r>
            <w:r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Cenzura w dawnej Polsce: między prasą drukarską a stosem</w:t>
            </w:r>
            <w:r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>, Warszawa 1997</w:t>
            </w:r>
            <w:r w:rsidR="00B02B4B"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; M. Jaglarz, </w:t>
            </w:r>
            <w:r w:rsidR="00B02B4B"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Księgarstwo krakowskie XVI wieku</w:t>
            </w:r>
            <w:r w:rsidR="00B02B4B"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 xml:space="preserve">, Kraków 2004 (Biblioteka Krakowska, nr 147); E. Różycki, </w:t>
            </w:r>
            <w:proofErr w:type="spellStart"/>
            <w:r w:rsidR="00B02B4B"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>Alembekowie</w:t>
            </w:r>
            <w:proofErr w:type="spellEnd"/>
            <w:r w:rsidR="00B02B4B" w:rsidRPr="00AF50BF">
              <w:rPr>
                <w:rFonts w:eastAsia="Calibri" w:hAnsi="Bookman Old Style" w:cs="Tahoma"/>
                <w:i/>
                <w:sz w:val="24"/>
                <w:szCs w:val="22"/>
                <w:lang w:eastAsia="en-US"/>
              </w:rPr>
              <w:t xml:space="preserve"> i ich księgozbiory: z dziejów kultury umysłowej mieszczaństwa lwowskiego okresu renesansu i baroku</w:t>
            </w:r>
            <w:r w:rsidR="00B02B4B" w:rsidRPr="00AF50BF">
              <w:rPr>
                <w:rFonts w:eastAsia="Calibri" w:hAnsi="Bookman Old Style" w:cs="Tahoma"/>
                <w:sz w:val="24"/>
                <w:szCs w:val="22"/>
                <w:lang w:eastAsia="en-US"/>
              </w:rPr>
              <w:t>, Katowice 2001</w:t>
            </w:r>
          </w:p>
          <w:p w:rsidR="00B02B4B" w:rsidRPr="00AF50BF" w:rsidRDefault="00B02B4B">
            <w:pPr>
              <w:rPr>
                <w:rFonts w:eastAsia="Calibri" w:hAnsi="Bookman Old Style" w:cs="Tahoma"/>
                <w:sz w:val="24"/>
                <w:szCs w:val="22"/>
                <w:lang w:eastAsia="en-US"/>
              </w:rPr>
            </w:pPr>
          </w:p>
          <w:p w:rsidR="00161E05" w:rsidRPr="00AF50BF" w:rsidRDefault="00161E05">
            <w:pPr>
              <w:rPr>
                <w:rFonts w:eastAsia="Calibri" w:hAnsi="Bookman Old Style" w:cs="Tahoma"/>
                <w:sz w:val="24"/>
                <w:szCs w:val="22"/>
                <w:lang w:eastAsia="en-US"/>
              </w:rPr>
            </w:pPr>
          </w:p>
          <w:p w:rsidR="00161E05" w:rsidRPr="00AF50BF" w:rsidRDefault="00161E05">
            <w:pPr>
              <w:rPr>
                <w:rFonts w:hAnsi="Bookman Old Style"/>
                <w:sz w:val="24"/>
                <w:szCs w:val="24"/>
              </w:rPr>
            </w:pPr>
          </w:p>
        </w:tc>
      </w:tr>
    </w:tbl>
    <w:p w:rsidR="00BC1267" w:rsidRPr="00AF50BF" w:rsidRDefault="00BC1267">
      <w:pPr>
        <w:rPr>
          <w:rFonts w:hAnsi="Bookman Old Style"/>
        </w:rPr>
      </w:pPr>
    </w:p>
    <w:p w:rsidR="00BC1267" w:rsidRPr="00AF50BF" w:rsidRDefault="00BC1267">
      <w:pPr>
        <w:rPr>
          <w:rFonts w:hAnsi="Bookman Old Style"/>
        </w:rPr>
      </w:pPr>
    </w:p>
    <w:p w:rsidR="00BC1267" w:rsidRPr="00AF50BF" w:rsidRDefault="00BC1267">
      <w:pPr>
        <w:rPr>
          <w:rFonts w:hAnsi="Bookman Old Style"/>
        </w:rPr>
      </w:pPr>
    </w:p>
    <w:sectPr w:rsidR="00BC1267" w:rsidRPr="00AF50BF">
      <w:headerReference w:type="even" r:id="rId8"/>
      <w:headerReference w:type="default" r:id="rId9"/>
      <w:pgSz w:w="16838" w:h="11906" w:orient="landscape"/>
      <w:pgMar w:top="567" w:right="567" w:bottom="567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02" w:rsidRDefault="00E65602">
      <w:pPr>
        <w:spacing w:after="0" w:line="240" w:lineRule="auto"/>
      </w:pPr>
      <w:r>
        <w:separator/>
      </w:r>
    </w:p>
  </w:endnote>
  <w:endnote w:type="continuationSeparator" w:id="0">
    <w:p w:rsidR="00E65602" w:rsidRDefault="00E6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02" w:rsidRDefault="00E65602">
      <w:pPr>
        <w:spacing w:after="0" w:line="240" w:lineRule="auto"/>
      </w:pPr>
      <w:r>
        <w:separator/>
      </w:r>
    </w:p>
  </w:footnote>
  <w:footnote w:type="continuationSeparator" w:id="0">
    <w:p w:rsidR="00E65602" w:rsidRDefault="00E6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67" w:rsidRDefault="0000005B">
    <w:pPr>
      <w:pStyle w:val="Nagwek"/>
    </w:pPr>
    <w:r>
      <w:fldChar w:fldCharType="begin"/>
    </w:r>
    <w:r>
      <w:instrText xml:space="preserve"> PAGE  \* MERGEFORMAT </w:instrText>
    </w:r>
    <w:r>
      <w:fldChar w:fldCharType="end"/>
    </w:r>
  </w:p>
  <w:p w:rsidR="00BC1267" w:rsidRDefault="00BC1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67" w:rsidRDefault="0000005B">
    <w:pPr>
      <w:pStyle w:val="Nagwek"/>
    </w:pPr>
    <w:r>
      <w:fldChar w:fldCharType="begin"/>
    </w:r>
    <w:r>
      <w:instrText xml:space="preserve"> PAGE  \* MERGEFORMAT </w:instrText>
    </w:r>
    <w:r>
      <w:fldChar w:fldCharType="separate"/>
    </w:r>
    <w:r w:rsidR="00944336" w:rsidRPr="0094433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C1267" w:rsidRDefault="00BC1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7E87"/>
    <w:multiLevelType w:val="hybridMultilevel"/>
    <w:tmpl w:val="A036BCB0"/>
    <w:lvl w:ilvl="0" w:tplc="6524B02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EA920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0CCA878">
      <w:numFmt w:val="bullet"/>
      <w:lvlText w:val=""/>
      <w:lvlJc w:val="left"/>
      <w:pPr>
        <w:ind w:left="2160" w:hanging="1800"/>
      </w:pPr>
    </w:lvl>
    <w:lvl w:ilvl="3" w:tplc="A8847EC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094703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F6ACD3C">
      <w:numFmt w:val="bullet"/>
      <w:lvlText w:val=""/>
      <w:lvlJc w:val="left"/>
      <w:pPr>
        <w:ind w:left="4320" w:hanging="3960"/>
      </w:pPr>
    </w:lvl>
    <w:lvl w:ilvl="6" w:tplc="23CA44D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266738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330126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0FD4B37"/>
    <w:multiLevelType w:val="hybridMultilevel"/>
    <w:tmpl w:val="97D0AA5C"/>
    <w:lvl w:ilvl="0" w:tplc="1242BEA6">
      <w:start w:val="1"/>
      <w:numFmt w:val="decimal"/>
      <w:lvlText w:val="%1."/>
      <w:lvlJc w:val="left"/>
      <w:pPr>
        <w:ind w:left="720" w:hanging="360"/>
      </w:pPr>
    </w:lvl>
    <w:lvl w:ilvl="1" w:tplc="8BFCC4CE">
      <w:start w:val="1"/>
      <w:numFmt w:val="decimal"/>
      <w:lvlText w:val="%2."/>
      <w:lvlJc w:val="left"/>
      <w:pPr>
        <w:ind w:left="1440" w:hanging="1080"/>
      </w:pPr>
    </w:lvl>
    <w:lvl w:ilvl="2" w:tplc="8AE02CC4">
      <w:start w:val="1"/>
      <w:numFmt w:val="decimal"/>
      <w:lvlText w:val="%3."/>
      <w:lvlJc w:val="left"/>
      <w:pPr>
        <w:ind w:left="2160" w:hanging="1980"/>
      </w:pPr>
    </w:lvl>
    <w:lvl w:ilvl="3" w:tplc="E3AA87B4">
      <w:start w:val="1"/>
      <w:numFmt w:val="decimal"/>
      <w:lvlText w:val="%4."/>
      <w:lvlJc w:val="left"/>
      <w:pPr>
        <w:ind w:left="2880" w:hanging="2520"/>
      </w:pPr>
    </w:lvl>
    <w:lvl w:ilvl="4" w:tplc="9026AAD8">
      <w:start w:val="1"/>
      <w:numFmt w:val="decimal"/>
      <w:lvlText w:val="%5."/>
      <w:lvlJc w:val="left"/>
      <w:pPr>
        <w:ind w:left="3600" w:hanging="3240"/>
      </w:pPr>
    </w:lvl>
    <w:lvl w:ilvl="5" w:tplc="A0905BF8">
      <w:start w:val="1"/>
      <w:numFmt w:val="decimal"/>
      <w:lvlText w:val="%6."/>
      <w:lvlJc w:val="left"/>
      <w:pPr>
        <w:ind w:left="4320" w:hanging="4140"/>
      </w:pPr>
    </w:lvl>
    <w:lvl w:ilvl="6" w:tplc="A192F500">
      <w:start w:val="1"/>
      <w:numFmt w:val="decimal"/>
      <w:lvlText w:val="%7."/>
      <w:lvlJc w:val="left"/>
      <w:pPr>
        <w:ind w:left="5040" w:hanging="4680"/>
      </w:pPr>
    </w:lvl>
    <w:lvl w:ilvl="7" w:tplc="A7921410">
      <w:start w:val="1"/>
      <w:numFmt w:val="decimal"/>
      <w:lvlText w:val="%8."/>
      <w:lvlJc w:val="left"/>
      <w:pPr>
        <w:ind w:left="5760" w:hanging="5400"/>
      </w:pPr>
    </w:lvl>
    <w:lvl w:ilvl="8" w:tplc="FA1E0C3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7"/>
    <w:rsid w:val="0000005B"/>
    <w:rsid w:val="00161E05"/>
    <w:rsid w:val="003D5872"/>
    <w:rsid w:val="0051020B"/>
    <w:rsid w:val="00840BA1"/>
    <w:rsid w:val="00944336"/>
    <w:rsid w:val="00AF50BF"/>
    <w:rsid w:val="00B02B4B"/>
    <w:rsid w:val="00BC1267"/>
    <w:rsid w:val="00D939BA"/>
    <w:rsid w:val="00E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FC3F"/>
  <w15:docId w15:val="{C6B4F5E2-3BF3-4758-A6F1-8ECB7302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</w:style>
  <w:style w:type="paragraph" w:styleId="Nagwek1">
    <w:name w:val="heading 1"/>
    <w:basedOn w:val="Normalny"/>
    <w:pPr>
      <w:spacing w:before="480"/>
      <w:outlineLvl w:val="0"/>
    </w:pPr>
    <w:rPr>
      <w:b/>
      <w:color w:val="345A8A"/>
      <w:sz w:val="32"/>
    </w:rPr>
  </w:style>
  <w:style w:type="paragraph" w:styleId="Nagwek2">
    <w:name w:val="heading 2"/>
    <w:basedOn w:val="Normalny"/>
    <w:pPr>
      <w:spacing w:before="200"/>
      <w:outlineLvl w:val="1"/>
    </w:pPr>
    <w:rPr>
      <w:b/>
      <w:color w:val="4F81BD"/>
      <w:sz w:val="26"/>
    </w:rPr>
  </w:style>
  <w:style w:type="paragraph" w:styleId="Nagwek3">
    <w:name w:val="heading 3"/>
    <w:basedOn w:val="Normalny"/>
    <w:pPr>
      <w:spacing w:before="200"/>
      <w:outlineLvl w:val="2"/>
    </w:pPr>
    <w:rPr>
      <w:b/>
      <w:color w:val="4F81BD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</w:style>
  <w:style w:type="character" w:customStyle="1" w:styleId="TekstprzypisudolnegoZnak">
    <w:name w:val="Tekst przypisu dolnego Znak"/>
    <w:qFormat/>
  </w:style>
  <w:style w:type="paragraph" w:styleId="Nagwek">
    <w:name w:val="header"/>
    <w:basedOn w:val="Normalny"/>
    <w:qFormat/>
  </w:style>
  <w:style w:type="character" w:customStyle="1" w:styleId="NagwekZnak">
    <w:name w:val="Nagłówek Znak"/>
    <w:qFormat/>
    <w:rPr>
      <w:rFonts w:ascii="Times New Roman" w:hAnsi="Times New Roman"/>
      <w:sz w:val="20"/>
    </w:rPr>
  </w:style>
  <w:style w:type="character" w:styleId="Numerstrony">
    <w:name w:val="page number"/>
    <w:qFormat/>
  </w:style>
  <w:style w:type="character" w:styleId="Hipercze">
    <w:name w:val="Hyperlink"/>
    <w:qFormat/>
    <w:rPr>
      <w:color w:val="0000FF"/>
      <w:u w:val="single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1Znak">
    <w:name w:val="Nagłówek 1 Znak"/>
    <w:qFormat/>
    <w:rPr>
      <w:rFonts w:ascii="Times New Roman" w:hAnsi="Times New Roman"/>
      <w:b/>
      <w:sz w:val="48"/>
      <w:szCs w:val="48"/>
    </w:rPr>
  </w:style>
  <w:style w:type="paragraph" w:styleId="Tytu">
    <w:name w:val="Title"/>
    <w:basedOn w:val="Normalny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atrnn.pl/lublinwdokumenc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Kowalski</dc:creator>
  <cp:keywords/>
  <dc:description/>
  <cp:lastModifiedBy>Waldemar Kowalski</cp:lastModifiedBy>
  <cp:revision>6</cp:revision>
  <dcterms:created xsi:type="dcterms:W3CDTF">2018-10-16T16:43:00Z</dcterms:created>
  <dcterms:modified xsi:type="dcterms:W3CDTF">2018-10-16T17:25:00Z</dcterms:modified>
</cp:coreProperties>
</file>